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a di ingiu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ingiunzione di pagamento permette la riscossione dell'importo relativo al mancato pagamento di una sanzione amministrativa (infrazioni al Codice della Strada e ai regolamenti comunali) e al recupero delle eventuali spese di accertamento e notificazione, piu' la maggiorazione prevista dalla legge n. 689/81) di un decimo della sanzione per semestre dalla data in cui e' decorso il termine per il pagamento in misura ridott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escrizione di questo processo si ricava dalla declinazione della funzione istituzionale a cui il processo e' correlato, ed e' contenuta nel Piano Esecutivo di Gestione (PEG/PDO) dell'Ente o in altri documenti analoghi, tra gli obiettivi di funziona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5 anni dal giorno di notifica del verbale di accerta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